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Unveils New Solid-State Battery Tech and Next-Generation e-Axles at IAA Mobility</w:t>
      </w:r>
    </w:p>
    <w:p>
      <w:pPr>
        <w:spacing w:line="240" w:lineRule="auto"/>
      </w:pPr>
      <w:r>
        <w:rPr/>
        <w:t xml:space="preserve">September 8, 2025</w:t>
      </w:r>
    </w:p>
    <w:p>
      <w:pPr>
        <w:spacing w:lineRule="auto"/>
      </w:pPr>
      <w:r>
        <w:rPr/>
      </w:r>
    </w:p>
    <w:p>
      <w:pPr>
        <w:spacing w:lineRule="auto"/>
      </w:pPr>
      <w:r>
        <w:rPr>
          <w:b/>
        </w:rPr>
        <w:t xml:space="preserve">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w:t>
      </w:r>
    </w:p>
    <w:p>
      <w:pPr>
        <w:spacing w:lineRule="auto"/>
      </w:pPr>
      <w:r>
        <w:rPr/>
        <w:t xml:space="preserve">Following announcements over the last 12 months of major collaborations with global automotive OEMs such as BMW Group, CEER Motors and Porsche, Rimac Technology continues to innovate for the near future. Not only building massive scale – capable of producing tens of thousands of units per month – but always ensuring its technology remains at the cutting edge.</w:t>
      </w:r>
    </w:p>
    <w:p>
      <w:pPr>
        <w:pStyle w:val="Heading4"/>
        <w:spacing w:lineRule="auto"/>
      </w:pPr>
      <w:r>
        <w:rPr/>
        <w:t xml:space="preserve">At IAA, Rimac Technology is showcasing groundbreaking battery, powertrain and electronics platforms.</w:t>
      </w:r>
      <w:r>
        <w:rPr/>
        <w:br w:type="textWrapping"/>
      </w:r>
      <w:r>
        <w:rPr/>
        <w:br w:type="textWrapping"/>
      </w:r>
      <w:r>
        <w:rPr/>
        <w:t xml:space="preserve">Batteries</w:t>
      </w:r>
    </w:p>
    <w:p>
      <w:pPr>
        <w:spacing w:lineRule="auto"/>
      </w:pPr>
      <w:r>
        <w:rPr>
          <w:b/>
        </w:rPr>
        <w:t xml:space="preserve">Next-Gen Technology:</w:t>
      </w:r>
      <w:r>
        <w:rPr/>
        <w:t xml:space="preserve"> Developed in collaboration with ProLogium and Mitsubishi Chemical Group, this advanced battery system features solid-state cell technology and innovative housing solutions that further push the boundaries of energy density and safety. ProLogium's cutting-edge solid-state cells are integrated with Mitsubishi Chemical Group’s advanced materials expertise to create a battery platform that is lighter, safer and more energy dense.</w:t>
      </w:r>
    </w:p>
    <w:p>
      <w:pPr>
        <w:spacing w:lineRule="auto"/>
      </w:pPr>
      <w:r>
        <w:rPr>
          <w:b/>
        </w:rPr>
        <w:t xml:space="preserve">Evo Technology: </w:t>
      </w:r>
      <w:r>
        <w:rPr/>
        <w:t xml:space="preserve">Based on 46XX Gen2 NMC cells and featuring next-generation featuring  next-generation thermoplastic composite battery housing (Pentatonic) co-developed with Kautex Textron, this platform represents the immediate future of high-performance battery systems, combining proven cell chemistry with innovative packaging and thermal management solutions.</w:t>
      </w:r>
    </w:p>
    <w:p>
      <w:pPr>
        <w:spacing w:lineRule="auto"/>
      </w:pPr>
      <w:r>
        <w:rPr>
          <w:b/>
        </w:rPr>
        <w:t xml:space="preserve">Hybrid Technology: </w:t>
      </w:r>
      <w:r>
        <w:rPr/>
        <w:t xml:space="preserve">Evolved from proven technology, this platform is designed to address two key market demands: high-energy hybrid battery packs based on the 46XX cell format, and power-dense hybrid packs based on the 2170 cell format. It offers dimensional scalability and interchangeable cell configurations, integrated in cell-to-pack architecture with advanced safety and thermal management features.</w:t>
      </w:r>
    </w:p>
    <w:p>
      <w:pPr>
        <w:pStyle w:val="Heading4"/>
        <w:spacing w:lineRule="auto"/>
      </w:pPr>
      <w:r>
        <w:rPr/>
        <w:t xml:space="preserve">Powertrains</w:t>
      </w:r>
    </w:p>
    <w:p>
      <w:pPr>
        <w:spacing w:lineRule="auto"/>
      </w:pPr>
      <w:r>
        <w:rPr/>
        <w:t xml:space="preserve">SINTEG 300 &amp; 550: These Single EM ultra-compact, fully integrated eAxles achieve all-new levels of performance with power density exceeding 8 kW/kg and torque density surpassing 90 Nm/kg, setting new industry benchmarks for series volume applications. With a patented ultra-light rotor able to spin up to 25000rpm and a novel magnet design delivering unprecedented torque and power in a package which fits into carryon luggage.</w:t>
      </w:r>
    </w:p>
    <w:p>
      <w:pPr>
        <w:spacing w:lineRule="auto"/>
      </w:pPr>
      <w:r>
        <w:rPr/>
        <w:t xml:space="preserve">Based on Rimac Technology's Scalable Powertrain Platform, these CoAxial or Offset configurable variants offer between 150 – 360kW and 2500 – 6250Nm to target performance-focused vehicles across all segments, from hot hatches and sports coupes to sedans and SUVs.</w:t>
      </w:r>
    </w:p>
    <w:p>
      <w:pPr>
        <w:spacing w:lineRule="auto"/>
      </w:pPr>
      <w:r>
        <w:rPr/>
        <w:t xml:space="preserve">High Torque XXL Axle: The production version of the showcased Dual EM EDU 550 eAxle will be entering series production in 2026 for a global OEM. The current validated system has proven &gt;95% peak efficiency and delivers over 11,000 Nm of axle torque. The mid volume series program is backed by a robust global supply chain with the highly automatized industrialization line slated to come alive at one of Rimac Technology’s production facilities on the outskirts of Zagreb, Croatia.</w:t>
      </w:r>
    </w:p>
    <w:p>
      <w:pPr>
        <w:pStyle w:val="Heading4"/>
        <w:spacing w:lineRule="auto"/>
      </w:pPr>
      <w:r>
        <w:rPr/>
        <w:t xml:space="preserve">Electronics and Controls</w:t>
      </w:r>
      <w:r>
        <w:rPr/>
        <w:br w:type="textWrapping"/>
      </w:r>
    </w:p>
    <w:p>
      <w:pPr>
        <w:spacing w:lineRule="auto"/>
      </w:pPr>
      <w:r>
        <w:rPr/>
        <w:t xml:space="preserve">Rimac Technology will showcase its state-of-the-art portfolio of domain and zonal ECUs, powered by NXP’s S32E2 real-time processors. By consolidating more than multiple traditional ECUs into single high-performance domain controllers, Rimac delivers a centralized architecture that dramatically simplifies complexity, reduces cost and weight, and enables OEMs to fully embrace the era of software-defined vehicles. These next-generation ECUs manage critical functions ranging from torque vectoring and high-voltage battery systems to body and power distribution controls, while ensuring uncompromising safety, scalability, real-time performance and OTA updates.</w:t>
      </w:r>
    </w:p>
    <w:p>
      <w:pPr>
        <w:spacing w:lineRule="auto"/>
      </w:pPr>
      <w:r>
        <w:rPr/>
        <w:t xml:space="preserve">The technologies unveiled at IAA Mobility will be produced at Rimac’s state-of-the-art facilities in Croatia, spanning more than 95,000 m² of production space across two sites. Anchored by the flagship Rimac Campus, which represents an investment of over €200 million in advanced manufacturing capabilities, these facilities provide the scale and sophistication to support multiple high-volume projects simultaneously.</w:t>
      </w:r>
    </w:p>
    <w:p>
      <w:pPr>
        <w:spacing w:lineRule="auto"/>
      </w:pPr>
      <w:r>
        <w:rPr/>
      </w:r>
    </w:p>
    <w:p>
      <w:pPr>
        <w:spacing w:lineRule="auto"/>
      </w:pPr>
      <w:r>
        <w:rPr>
          <w:i/>
        </w:rPr>
        <w:t xml:space="preserve">"What we're showcasing at IAA represents the convergence of breakthrough innovation and production readiness. These aren't simply concept technologies; they’ve been developed to be production-ready solutions that will power hundreds of thousands of vehicles in the coming years."</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Visitors to IAA Mobility can experience Rimac Technology's complete portfolio at Stand C-22 in Hall A1, where the Rimac Technology team will be available to discuss technical details and partnership opportunities.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ussjf5T64d97QmoFu-we.png"/>
          <graphic xmlns="http://schemas.openxmlformats.org/drawingml/2006/main">
            <graphicData uri="http://schemas.openxmlformats.org/drawingml/2006/picture">
              <pic xmlns="http://schemas.openxmlformats.org/drawingml/2006/picture">
                <nvPicPr>
                  <cNvPr id="2" name="image-Sussjf5T64d97QmoFu-w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d6YUncSLKcuirgCYE_Je.png" TargetMode="Internal"/>
  <Relationship Id="rId2" Type="http://schemas.openxmlformats.org/officeDocument/2006/relationships/image" Target="media/image-Sussjf5T64d97QmoFu-w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Unveils New Solid-State Battery Tech and Next-Generation e-Axles at IAA Mobility</dc:title>
  <dc:subject/>
  <dc:creator>Rimac Newsroom</dc:creator>
  <cp:keywords/>
  <dc:description>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dc:description>
  <cp:lastModifiedBy>Rimac Newsroom</cp:lastModifiedBy>
  <cp:revision>1</cp:revision>
  <dcterms:created xsi:type="dcterms:W3CDTF">2026-03-21T14:13:17.204Z</dcterms:created>
  <dcterms:modified xsi:type="dcterms:W3CDTF">2026-03-21T14:13:17.204Z</dcterms:modified>
</cp:coreProperties>
</file>